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" w:history="1">
        <w:r w:rsidR="00CC671E" w:rsidRPr="00CC671E">
          <w:rPr>
            <w:rStyle w:val="a3"/>
          </w:rPr>
          <w:t>http://oopb-orel.ru/</w:t>
        </w:r>
      </w:hyperlink>
      <w:r w:rsidR="00152240" w:rsidRPr="00152240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: </w:t>
      </w:r>
      <w:bookmarkStart w:id="0" w:name="_GoBack"/>
      <w:bookmarkEnd w:id="0"/>
      <w:r w:rsidR="00CC671E">
        <w:t>+7 (4862) 73-64-50</w:t>
      </w:r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1438FA"/>
    <w:rsid w:val="00145D8B"/>
    <w:rsid w:val="00152240"/>
    <w:rsid w:val="001A26A2"/>
    <w:rsid w:val="001A78B8"/>
    <w:rsid w:val="001B1F9D"/>
    <w:rsid w:val="00200CC9"/>
    <w:rsid w:val="002A65BC"/>
    <w:rsid w:val="002B4F2A"/>
    <w:rsid w:val="002F6FCC"/>
    <w:rsid w:val="00330CD8"/>
    <w:rsid w:val="00357496"/>
    <w:rsid w:val="00392345"/>
    <w:rsid w:val="003E7FE0"/>
    <w:rsid w:val="00407C46"/>
    <w:rsid w:val="00412CE1"/>
    <w:rsid w:val="004335C6"/>
    <w:rsid w:val="00466907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D3F0C"/>
    <w:rsid w:val="005F7165"/>
    <w:rsid w:val="00653C9C"/>
    <w:rsid w:val="00677109"/>
    <w:rsid w:val="00732EB5"/>
    <w:rsid w:val="007355A2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412B1"/>
    <w:rsid w:val="0096050A"/>
    <w:rsid w:val="00964C83"/>
    <w:rsid w:val="00974D26"/>
    <w:rsid w:val="009A179D"/>
    <w:rsid w:val="00A51143"/>
    <w:rsid w:val="00AB5D09"/>
    <w:rsid w:val="00B1132B"/>
    <w:rsid w:val="00B22624"/>
    <w:rsid w:val="00B53C87"/>
    <w:rsid w:val="00B64751"/>
    <w:rsid w:val="00BE741E"/>
    <w:rsid w:val="00BF4CAE"/>
    <w:rsid w:val="00C57EE9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5A47"/>
    <w:rsid w:val="00DF37CF"/>
    <w:rsid w:val="00E0750F"/>
    <w:rsid w:val="00E61E8B"/>
    <w:rsid w:val="00E801EA"/>
    <w:rsid w:val="00EA6954"/>
    <w:rsid w:val="00F301F5"/>
    <w:rsid w:val="00F64133"/>
    <w:rsid w:val="00FA564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opb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CE41CFA4-C66E-4CC3-A4D6-1A001017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89</cp:revision>
  <dcterms:created xsi:type="dcterms:W3CDTF">2017-06-06T06:58:00Z</dcterms:created>
  <dcterms:modified xsi:type="dcterms:W3CDTF">2017-06-19T13:59:00Z</dcterms:modified>
</cp:coreProperties>
</file>